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11" w:rsidRPr="00BA4C40" w:rsidRDefault="00C43D11">
      <w:pPr>
        <w:pStyle w:val="CABEZA"/>
        <w:rPr>
          <w:rFonts w:cs="Times New Roman"/>
        </w:rPr>
      </w:pPr>
      <w:bookmarkStart w:id="0" w:name="_GoBack"/>
      <w:bookmarkEnd w:id="0"/>
      <w:r w:rsidRPr="00BA4C40">
        <w:rPr>
          <w:rFonts w:cs="Times New Roman"/>
        </w:rPr>
        <w:t xml:space="preserve">SECRETARIA DE HACIENDA Y CREDITO </w:t>
      </w:r>
      <w:proofErr w:type="gramStart"/>
      <w:r w:rsidRPr="00BA4C40">
        <w:rPr>
          <w:rFonts w:cs="Times New Roman"/>
        </w:rPr>
        <w:t>PUBLICO</w:t>
      </w:r>
      <w:proofErr w:type="gramEnd"/>
    </w:p>
    <w:p w:rsidR="001819B7" w:rsidRPr="00BA4C40" w:rsidRDefault="001819B7" w:rsidP="001819B7">
      <w:pPr>
        <w:pStyle w:val="Titulo1"/>
        <w:rPr>
          <w:rFonts w:cs="Times New Roman"/>
        </w:rPr>
      </w:pPr>
      <w:r w:rsidRPr="00BA4C40">
        <w:rPr>
          <w:rFonts w:cs="Times New Roman"/>
        </w:rPr>
        <w:t>ACUERDO por el que se Reforman las Reglas Específicas del Registro y Valoración del Patrimonio.</w:t>
      </w:r>
    </w:p>
    <w:p w:rsidR="00287945" w:rsidRDefault="00287945" w:rsidP="00A366AB">
      <w:pPr>
        <w:pStyle w:val="Texto"/>
      </w:pPr>
    </w:p>
    <w:p w:rsidR="002C48E4" w:rsidRDefault="002C48E4" w:rsidP="005F22DB">
      <w:pPr>
        <w:pStyle w:val="Texto"/>
        <w:spacing w:line="232" w:lineRule="exact"/>
        <w:rPr>
          <w:szCs w:val="18"/>
        </w:rPr>
      </w:pPr>
      <w:r w:rsidRPr="008D1E70">
        <w:rPr>
          <w:szCs w:val="18"/>
        </w:rPr>
        <w:t xml:space="preserve">El Consejo Nacional de Armonización Contable con fundamento en los artículos 6, 7, 9 y 14 de </w:t>
      </w:r>
      <w:smartTag w:uri="urn:schemas-microsoft-com:office:smarttags" w:element="PersonName">
        <w:smartTagPr>
          <w:attr w:name="ProductID" w:val="la Ley General"/>
        </w:smartTagPr>
        <w:r w:rsidRPr="008D1E70">
          <w:rPr>
            <w:szCs w:val="18"/>
          </w:rPr>
          <w:t>la Ley General</w:t>
        </w:r>
      </w:smartTag>
      <w:r w:rsidRPr="008D1E70">
        <w:rPr>
          <w:szCs w:val="18"/>
        </w:rPr>
        <w:t xml:space="preserve"> de Contabilidad Gubernamental, aprobó el siguiente:</w:t>
      </w:r>
    </w:p>
    <w:p w:rsidR="002C48E4" w:rsidRDefault="002C48E4" w:rsidP="009452BF">
      <w:pPr>
        <w:pStyle w:val="ANOTACION"/>
        <w:spacing w:line="232" w:lineRule="exact"/>
      </w:pPr>
      <w:r w:rsidRPr="008D1E70">
        <w:t>Acuerdo por el que se Reforman las Reglas Específicas del Registro y Valoración del Patrimonio</w:t>
      </w:r>
    </w:p>
    <w:p w:rsidR="002C48E4" w:rsidRPr="008D1E70" w:rsidRDefault="002C48E4" w:rsidP="00DC520E">
      <w:pPr>
        <w:pStyle w:val="texto0"/>
        <w:ind w:firstLine="0"/>
        <w:jc w:val="center"/>
      </w:pPr>
      <w:r w:rsidRPr="008D1E70">
        <w:t>CONSIDERANDO</w:t>
      </w:r>
    </w:p>
    <w:p w:rsidR="002C48E4" w:rsidRPr="008D1E70" w:rsidRDefault="002C48E4" w:rsidP="009452BF">
      <w:pPr>
        <w:pStyle w:val="Texto"/>
        <w:spacing w:line="232" w:lineRule="exact"/>
      </w:pPr>
      <w:r w:rsidRPr="008D1E70">
        <w:t xml:space="preserve">Que el 31 de diciembre de 2008 fue publicada en el Diario Oficial de </w:t>
      </w:r>
      <w:smartTag w:uri="urn:schemas-microsoft-com:office:smarttags" w:element="PersonName">
        <w:smartTagPr>
          <w:attr w:name="ProductID" w:val="la Federaci￳n"/>
        </w:smartTagPr>
        <w:r w:rsidRPr="008D1E70">
          <w:t>la Federación</w:t>
        </w:r>
      </w:smartTag>
      <w:r w:rsidRPr="008D1E70">
        <w:t xml:space="preserve"> la Ley General de Contabilidad Gubernamental (LGCG), que tiene como objeto establecer los criterios generales que regirán </w:t>
      </w:r>
      <w:smartTag w:uri="urn:schemas-microsoft-com:office:smarttags" w:element="PersonName">
        <w:smartTagPr>
          <w:attr w:name="ProductID" w:val="la Contabilidad Gubernamental"/>
        </w:smartTagPr>
        <w:r w:rsidRPr="008D1E70">
          <w:t>la Contabilidad Gubernamental</w:t>
        </w:r>
      </w:smartTag>
      <w:r w:rsidRPr="008D1E70">
        <w:t xml:space="preserve"> y la emisión de información financiera de los entes públicos, con el fin de lograr su adecuada armonización, para facilitar a los entes públicos el registro y la fiscalización de los activos, pasivos, ingresos y gastos y, en general, contribuir a medir la eficacia, economía y eficiencia del gasto e ingreso públicos.</w:t>
      </w:r>
    </w:p>
    <w:p w:rsidR="002C48E4" w:rsidRPr="008D1E70" w:rsidRDefault="002C48E4" w:rsidP="009452BF">
      <w:pPr>
        <w:pStyle w:val="Texto"/>
        <w:spacing w:line="232" w:lineRule="exact"/>
      </w:pPr>
      <w:r w:rsidRPr="008D1E70">
        <w:t xml:space="preserve">Que en este marco y en cumplimiento de sus funciones, el Consejo Nacional de Armonización Contable (CONAC) publicó en el Diario Oficial de </w:t>
      </w:r>
      <w:smartTag w:uri="urn:schemas-microsoft-com:office:smarttags" w:element="PersonName">
        <w:smartTagPr>
          <w:attr w:name="ProductID" w:val="la Federaci￳n"/>
        </w:smartTagPr>
        <w:r w:rsidRPr="008D1E70">
          <w:t>la Federación</w:t>
        </w:r>
      </w:smartTag>
      <w:r w:rsidRPr="008D1E70">
        <w:t xml:space="preserve"> (DOF) el 13 de diciembre de 2011, el Acuerdo por el que se emiten las Reglas Específicas del Registro y Valoración del Patrimonio, así como sus reformas publicadas en el DOF el 2 de enero de 2013, el 6 de octubre de 2014 y el 22 de diciembre de 2014.</w:t>
      </w:r>
    </w:p>
    <w:p w:rsidR="002C48E4" w:rsidRDefault="002C48E4" w:rsidP="009452BF">
      <w:pPr>
        <w:pStyle w:val="Texto"/>
        <w:spacing w:line="232" w:lineRule="exact"/>
      </w:pPr>
      <w:r w:rsidRPr="008D1E70">
        <w:t>Que es necesario realizar las reformas y adiciones al Acuerdo por el que se emiten las Reglas Específicas</w:t>
      </w:r>
      <w:r>
        <w:t xml:space="preserve"> </w:t>
      </w:r>
      <w:r w:rsidRPr="008D1E70">
        <w:t xml:space="preserve">del Registro y Valoración del Patrimonio, para que la información financiera sea congruente con Ley para Determinar el Valor de </w:t>
      </w:r>
      <w:smartTag w:uri="urn:schemas-microsoft-com:office:smarttags" w:element="PersonName">
        <w:smartTagPr>
          <w:attr w:name="ProductID" w:val="la Unidad"/>
        </w:smartTagPr>
        <w:r w:rsidRPr="008D1E70">
          <w:t>la Unidad</w:t>
        </w:r>
      </w:smartTag>
      <w:r w:rsidRPr="008D1E70">
        <w:t xml:space="preserve"> de Medida y Actualización, publicada en el DOF el 30 de diciembre de 2016.</w:t>
      </w:r>
    </w:p>
    <w:p w:rsidR="002C48E4" w:rsidRDefault="002C48E4" w:rsidP="009452BF">
      <w:pPr>
        <w:pStyle w:val="Texto"/>
        <w:spacing w:line="232" w:lineRule="exact"/>
      </w:pPr>
      <w:r w:rsidRPr="008D1E70">
        <w:t>Por lo expuesto, el Consejo Nacional de Armonización Contable aprobó el siguiente:</w:t>
      </w:r>
    </w:p>
    <w:p w:rsidR="002C48E4" w:rsidRDefault="002C48E4" w:rsidP="009452BF">
      <w:pPr>
        <w:pStyle w:val="ANOTACION"/>
        <w:spacing w:line="232" w:lineRule="exact"/>
      </w:pPr>
      <w:r w:rsidRPr="008D1E70">
        <w:t>Acuerdo por el que se Reforman las Reglas Específicas del Registro y Valoración del Patrimonio</w:t>
      </w:r>
    </w:p>
    <w:p w:rsidR="002C48E4" w:rsidRPr="008D1E70" w:rsidRDefault="002C48E4" w:rsidP="009452BF">
      <w:pPr>
        <w:pStyle w:val="Texto"/>
        <w:spacing w:line="232" w:lineRule="exact"/>
      </w:pPr>
      <w:r w:rsidRPr="008D1E70">
        <w:t>Se reforman los dos párrafos del inciso B. Reglas Específicas del Registro y Valoración del Activo, punto 8. Monto de capitalización de los bienes muebles e intangibles, para quedar como sigue:</w:t>
      </w:r>
    </w:p>
    <w:p w:rsidR="002C48E4" w:rsidRDefault="002C48E4" w:rsidP="009452BF">
      <w:pPr>
        <w:pStyle w:val="Texto"/>
        <w:spacing w:line="232" w:lineRule="exact"/>
        <w:rPr>
          <w:lang w:val="es-AR"/>
        </w:rPr>
      </w:pPr>
      <w:r w:rsidRPr="008D1E70">
        <w:rPr>
          <w:lang w:val="es-AR"/>
        </w:rPr>
        <w:t>…</w:t>
      </w:r>
    </w:p>
    <w:p w:rsidR="002C48E4" w:rsidRPr="008D1E70" w:rsidRDefault="002C48E4" w:rsidP="009452BF">
      <w:pPr>
        <w:pStyle w:val="Texto"/>
        <w:spacing w:line="232" w:lineRule="exact"/>
        <w:rPr>
          <w:b/>
          <w:color w:val="000000"/>
        </w:rPr>
      </w:pPr>
      <w:r w:rsidRPr="008D1E70">
        <w:rPr>
          <w:b/>
          <w:color w:val="000000"/>
        </w:rPr>
        <w:t>B. Reglas Específicas del Registro y Valoración del Activo.</w:t>
      </w:r>
    </w:p>
    <w:p w:rsidR="002C48E4" w:rsidRPr="008D1E70" w:rsidRDefault="002C48E4" w:rsidP="009452BF">
      <w:pPr>
        <w:pStyle w:val="Texto"/>
        <w:spacing w:line="232" w:lineRule="exact"/>
        <w:rPr>
          <w:b/>
          <w:color w:val="000000"/>
        </w:rPr>
      </w:pPr>
      <w:r w:rsidRPr="008D1E70">
        <w:rPr>
          <w:b/>
          <w:color w:val="000000"/>
        </w:rPr>
        <w:t>1. a 7. …</w:t>
      </w:r>
    </w:p>
    <w:p w:rsidR="002C48E4" w:rsidRPr="008D1E70" w:rsidRDefault="002C48E4" w:rsidP="009452BF">
      <w:pPr>
        <w:pStyle w:val="Texto"/>
        <w:spacing w:line="232" w:lineRule="exact"/>
        <w:rPr>
          <w:b/>
          <w:color w:val="000000"/>
        </w:rPr>
      </w:pPr>
      <w:r w:rsidRPr="008D1E70">
        <w:rPr>
          <w:b/>
          <w:color w:val="000000"/>
        </w:rPr>
        <w:t>8. Monto de capitalización de los bienes muebles e intangibles.</w:t>
      </w:r>
    </w:p>
    <w:p w:rsidR="002C48E4" w:rsidRPr="008D1E70" w:rsidRDefault="002C48E4" w:rsidP="009452BF">
      <w:pPr>
        <w:pStyle w:val="Texto"/>
        <w:spacing w:line="232" w:lineRule="exact"/>
        <w:rPr>
          <w:color w:val="000000"/>
        </w:rPr>
      </w:pPr>
      <w:r w:rsidRPr="008D1E70">
        <w:rPr>
          <w:color w:val="000000"/>
        </w:rPr>
        <w:t xml:space="preserve">Los bienes muebles e intangibles cuyo costo unitario de adquisición sea menor a 70 veces el valor diario de </w:t>
      </w:r>
      <w:smartTag w:uri="urn:schemas-microsoft-com:office:smarttags" w:element="PersonName">
        <w:smartTagPr>
          <w:attr w:name="ProductID" w:val="la Unidad"/>
        </w:smartTagPr>
        <w:r w:rsidRPr="008D1E70">
          <w:rPr>
            <w:color w:val="000000"/>
          </w:rPr>
          <w:t>la Unidad</w:t>
        </w:r>
      </w:smartTag>
      <w:r w:rsidRPr="008D1E70">
        <w:rPr>
          <w:color w:val="000000"/>
        </w:rPr>
        <w:t xml:space="preserve"> de Medida y Actualización (UMA), podrán registrarse contablemente como un gasto y serán sujetos a los controles correspondientes.</w:t>
      </w:r>
    </w:p>
    <w:p w:rsidR="002C48E4" w:rsidRPr="008D1E70" w:rsidRDefault="002C48E4" w:rsidP="009452BF">
      <w:pPr>
        <w:pStyle w:val="Texto"/>
        <w:spacing w:line="232" w:lineRule="exact"/>
        <w:rPr>
          <w:color w:val="000000"/>
        </w:rPr>
      </w:pPr>
      <w:r w:rsidRPr="008D1E70">
        <w:rPr>
          <w:color w:val="000000"/>
        </w:rPr>
        <w:t xml:space="preserve">Los bienes muebles e intangibles cuyo costo unitario de adquisición sea igual o superior a 70 veces el valor diario de </w:t>
      </w:r>
      <w:smartTag w:uri="urn:schemas-microsoft-com:office:smarttags" w:element="PersonName">
        <w:smartTagPr>
          <w:attr w:name="ProductID" w:val="la UMA"/>
        </w:smartTagPr>
        <w:r w:rsidRPr="008D1E70">
          <w:rPr>
            <w:color w:val="000000"/>
          </w:rPr>
          <w:t>la UMA</w:t>
        </w:r>
      </w:smartTag>
      <w:r w:rsidRPr="008D1E70">
        <w:rPr>
          <w:color w:val="000000"/>
        </w:rPr>
        <w:t>, se registrarán contablemente como un aumento en el activo no circulante y se deberán identificar en el control administrativo para efectos de conciliación contable. Excepto en el caso de intangibles, cuya licencia tenga vigencia menor a un año, caso en el cual se le dará el tratamiento de gasto del período.</w:t>
      </w:r>
    </w:p>
    <w:p w:rsidR="002C48E4" w:rsidRDefault="002C48E4" w:rsidP="009452BF">
      <w:pPr>
        <w:pStyle w:val="Texto"/>
        <w:spacing w:line="232" w:lineRule="exact"/>
        <w:rPr>
          <w:b/>
          <w:color w:val="000000"/>
        </w:rPr>
      </w:pPr>
      <w:r w:rsidRPr="008D1E70">
        <w:rPr>
          <w:b/>
          <w:color w:val="000000"/>
        </w:rPr>
        <w:t>9. a 11. …</w:t>
      </w:r>
    </w:p>
    <w:p w:rsidR="002C48E4" w:rsidRDefault="002C48E4" w:rsidP="005F22DB">
      <w:pPr>
        <w:pStyle w:val="ANOTACION"/>
        <w:spacing w:line="233" w:lineRule="exact"/>
      </w:pPr>
      <w:r w:rsidRPr="008D1E70">
        <w:t>TRANSITORIOS</w:t>
      </w:r>
    </w:p>
    <w:p w:rsidR="002C48E4" w:rsidRDefault="002C48E4" w:rsidP="005F22DB">
      <w:pPr>
        <w:pStyle w:val="Texto"/>
        <w:spacing w:line="233" w:lineRule="exact"/>
      </w:pPr>
      <w:r w:rsidRPr="008D1E70">
        <w:rPr>
          <w:b/>
        </w:rPr>
        <w:t>PRIMERO.-</w:t>
      </w:r>
      <w:r w:rsidRPr="008D1E70">
        <w:t xml:space="preserve"> El presente Acuerdo entrará en vigor a partir del 1° de enero de 2018.</w:t>
      </w:r>
    </w:p>
    <w:p w:rsidR="002C48E4" w:rsidRDefault="002C48E4" w:rsidP="005F22DB">
      <w:pPr>
        <w:pStyle w:val="Texto"/>
        <w:spacing w:line="233" w:lineRule="exact"/>
      </w:pPr>
      <w:r w:rsidRPr="008D1E70">
        <w:rPr>
          <w:b/>
        </w:rPr>
        <w:t>SEGUNDO</w:t>
      </w:r>
      <w:r w:rsidRPr="008D1E70">
        <w:t xml:space="preserve">.- Las Entidades Federativas, en cumplimiento de lo dispuesto por el artículo 7, segundo párrafo, de </w:t>
      </w:r>
      <w:smartTag w:uri="urn:schemas-microsoft-com:office:smarttags" w:element="PersonName">
        <w:smartTagPr>
          <w:attr w:name="ProductID" w:val="la Ley General"/>
        </w:smartTagPr>
        <w:r w:rsidRPr="008D1E70">
          <w:t>la Ley General</w:t>
        </w:r>
      </w:smartTag>
      <w:r w:rsidRPr="008D1E70">
        <w:t xml:space="preserve"> de Contabilidad Gubernamental deberán publicar el presente Acuerdo, en sus medios oficiales de difusión escritos y electrónicos, dentro de un plazo de 30 días hábiles siguientes a la publicación del presente en el Diario Oficial de </w:t>
      </w:r>
      <w:smartTag w:uri="urn:schemas-microsoft-com:office:smarttags" w:element="PersonName">
        <w:smartTagPr>
          <w:attr w:name="ProductID" w:val="la Federaci￳n."/>
        </w:smartTagPr>
        <w:r w:rsidRPr="008D1E70">
          <w:t>la Federación.</w:t>
        </w:r>
      </w:smartTag>
    </w:p>
    <w:p w:rsidR="002C48E4" w:rsidRDefault="002C48E4" w:rsidP="005F22DB">
      <w:pPr>
        <w:pStyle w:val="Texto"/>
        <w:spacing w:line="233" w:lineRule="exact"/>
      </w:pPr>
      <w:r w:rsidRPr="008D1E70">
        <w:rPr>
          <w:b/>
        </w:rPr>
        <w:t xml:space="preserve">TERCERO.- </w:t>
      </w:r>
      <w:r w:rsidRPr="008D1E70">
        <w:t xml:space="preserve">En términos del artículo 15 de </w:t>
      </w:r>
      <w:smartTag w:uri="urn:schemas-microsoft-com:office:smarttags" w:element="PersonName">
        <w:smartTagPr>
          <w:attr w:name="ProductID" w:val="la Ley General"/>
        </w:smartTagPr>
        <w:r w:rsidRPr="008D1E70">
          <w:t>la Ley General</w:t>
        </w:r>
      </w:smartTag>
      <w:r w:rsidRPr="008D1E70">
        <w:t xml:space="preserve"> de Contabilidad Gubernamental, el Secretario Técnico llevará un registro público en una página de Internet de los actos que los entes públicos de las entidades federativas, municipios y demarcaciones territoriales de </w:t>
      </w:r>
      <w:smartTag w:uri="urn:schemas-microsoft-com:office:smarttags" w:element="PersonName">
        <w:smartTagPr>
          <w:attr w:name="ProductID" w:val="la Ciudad"/>
        </w:smartTagPr>
        <w:r w:rsidRPr="008D1E70">
          <w:t>la Ciudad</w:t>
        </w:r>
      </w:smartTag>
      <w:r w:rsidRPr="008D1E70">
        <w:t xml:space="preserve"> de México realicen para adoptar las decisiones del Consejo. Para tales efectos, los Consejos de Armonización Contable de las Entidades Federativas remitirán a </w:t>
      </w:r>
      <w:smartTag w:uri="urn:schemas-microsoft-com:office:smarttags" w:element="PersonName">
        <w:smartTagPr>
          <w:attr w:name="ProductID" w:val="La Secretaria T￩cnica"/>
        </w:smartTagPr>
        <w:r w:rsidRPr="008D1E70">
          <w:t>la Secretaria Técnica</w:t>
        </w:r>
      </w:smartTag>
      <w:r w:rsidRPr="008D1E70">
        <w:t xml:space="preserve"> la información relacionada con dichos actos a la dirección electrónica conac_sriotecnico@hacienda.gob.mx, dentro de un plazo de 15 días hábiles contado a partir de la </w:t>
      </w:r>
      <w:r w:rsidRPr="008D1E70">
        <w:lastRenderedPageBreak/>
        <w:t xml:space="preserve">conclusión del plazo fijado en el transitorio anterior. Los municipios sujetos del presente acuerdo podrán enviar la información antes referida por correo ordinario, a la atención de </w:t>
      </w:r>
      <w:smartTag w:uri="urn:schemas-microsoft-com:office:smarttags" w:element="PersonName">
        <w:smartTagPr>
          <w:attr w:name="ProductID" w:val="La Secretaria T￩cnica"/>
        </w:smartTagPr>
        <w:r w:rsidRPr="008D1E70">
          <w:t>la Secretaria Técnica</w:t>
        </w:r>
      </w:smartTag>
      <w:r w:rsidRPr="008D1E70">
        <w:t xml:space="preserve"> del CONAC, en el domicilio de Constituyentes 1001, Colonia Belén de las Flores, Delegación Álvaro Obregón, Ciudad de México, C.P. 01110.</w:t>
      </w:r>
    </w:p>
    <w:p w:rsidR="002C48E4" w:rsidRDefault="002C48E4" w:rsidP="005F22DB">
      <w:pPr>
        <w:pStyle w:val="Texto"/>
        <w:spacing w:line="233" w:lineRule="exact"/>
      </w:pPr>
      <w:r w:rsidRPr="008D1E70"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8D1E70">
          <w:t>la Ciudad</w:t>
        </w:r>
      </w:smartTag>
      <w:r w:rsidRPr="008D1E70">
        <w:t xml:space="preserve"> de México, siendo las quince horas del día 8 de diciembre del año dos mil diecisiete, con fundamento en los artículos 11 de </w:t>
      </w:r>
      <w:smartTag w:uri="urn:schemas-microsoft-com:office:smarttags" w:element="PersonName">
        <w:smartTagPr>
          <w:attr w:name="ProductID" w:val="la Ley General"/>
        </w:smartTagPr>
        <w:r w:rsidRPr="008D1E70">
          <w:t>la Ley General</w:t>
        </w:r>
      </w:smartTag>
      <w:r w:rsidRPr="008D1E70">
        <w:t xml:space="preserve"> de Contabilidad Gubernamental, 12, fracción IV, y 64 del Reglamento Interior de </w:t>
      </w:r>
      <w:smartTag w:uri="urn:schemas-microsoft-com:office:smarttags" w:element="PersonName">
        <w:smartTagPr>
          <w:attr w:name="ProductID" w:val="la Secretar￭a"/>
        </w:smartTagPr>
        <w:r w:rsidRPr="008D1E70">
          <w:t>la Secretaría</w:t>
        </w:r>
      </w:smartTag>
      <w:r w:rsidRPr="008D1E70">
        <w:t xml:space="preserve"> de Hacienda y Crédito Público, </w:t>
      </w:r>
      <w:smartTag w:uri="urn:schemas-microsoft-com:office:smarttags" w:element="PersonName">
        <w:smartTagPr>
          <w:attr w:name="ProductID" w:val="la Titular"/>
        </w:smartTagPr>
        <w:r w:rsidRPr="008D1E70">
          <w:t>la Titular</w:t>
        </w:r>
      </w:smartTag>
      <w:r w:rsidRPr="008D1E70">
        <w:t xml:space="preserve"> de </w:t>
      </w:r>
      <w:smartTag w:uri="urn:schemas-microsoft-com:office:smarttags" w:element="PersonName">
        <w:smartTagPr>
          <w:attr w:name="ProductID" w:val="la Unidad"/>
        </w:smartTagPr>
        <w:r w:rsidRPr="008D1E70">
          <w:t>la Unidad</w:t>
        </w:r>
      </w:smartTag>
      <w:r w:rsidRPr="008D1E70">
        <w:t xml:space="preserve"> de Contabilidad Gubernamental de </w:t>
      </w:r>
      <w:smartTag w:uri="urn:schemas-microsoft-com:office:smarttags" w:element="PersonName">
        <w:smartTagPr>
          <w:attr w:name="ProductID" w:val="la Subsecretar￭a"/>
        </w:smartTagPr>
        <w:r w:rsidRPr="008D1E70">
          <w:t>la Subsecretaría</w:t>
        </w:r>
      </w:smartTag>
      <w:r w:rsidRPr="008D1E70">
        <w:t xml:space="preserve"> de Egresos de </w:t>
      </w:r>
      <w:smartTag w:uri="urn:schemas-microsoft-com:office:smarttags" w:element="PersonName">
        <w:smartTagPr>
          <w:attr w:name="ProductID" w:val="la Secretar￭a"/>
        </w:smartTagPr>
        <w:r w:rsidRPr="008D1E70">
          <w:t>la Secretaría</w:t>
        </w:r>
      </w:smartTag>
      <w:r w:rsidRPr="008D1E70">
        <w:t xml:space="preserve"> de Hacienda y Crédito Público, en mi calidad de Secretaria Técnica del Consejo Nacional de Armonización Contable, </w:t>
      </w:r>
      <w:r w:rsidRPr="008D1E70">
        <w:rPr>
          <w:b/>
        </w:rPr>
        <w:t>HAGO CONSTAR Y CERTIFICO</w:t>
      </w:r>
      <w:r w:rsidRPr="008D1E70">
        <w:t xml:space="preserve"> que el documento constante en 1 foja útil, rubricada y cotejada, corresponde con el texto del Acuerdo por el que se Reforman las Reglas Específicas del Registro y Valoración del Patrimonio, aprobado por el Consejo Nacional de Armonización Contable, mismo que estuvo a la vista de los integrantes de dicho Consejo en su tercera reunión celebrada, en segunda convocatoria, el 8 de diciembre del presente año, situación que se certifica para los efectos legales conducentes. Rúbrica.</w:t>
      </w:r>
    </w:p>
    <w:p w:rsidR="002C48E4" w:rsidRDefault="002C48E4" w:rsidP="005F22DB">
      <w:pPr>
        <w:pStyle w:val="Texto"/>
        <w:spacing w:line="233" w:lineRule="exact"/>
      </w:pPr>
      <w:smartTag w:uri="urn:schemas-microsoft-com:office:smarttags" w:element="PersonName">
        <w:smartTagPr>
          <w:attr w:name="ProductID" w:val="La Secretaria T￩cnica"/>
        </w:smartTagPr>
        <w:r w:rsidRPr="008D1E70">
          <w:t>La Secretaria Técnica</w:t>
        </w:r>
      </w:smartTag>
      <w:r w:rsidRPr="008D1E70">
        <w:t xml:space="preserve"> del Consejo Nacional de Armonización Contable, </w:t>
      </w:r>
      <w:r w:rsidRPr="008D1E70">
        <w:rPr>
          <w:b/>
        </w:rPr>
        <w:t>María Teresa Castro Corro</w:t>
      </w:r>
      <w:r w:rsidRPr="008D1E70">
        <w:t>.- Rúbrica.</w:t>
      </w:r>
    </w:p>
    <w:p w:rsidR="001819B7" w:rsidRDefault="001819B7" w:rsidP="00A366AB">
      <w:pPr>
        <w:pStyle w:val="Texto"/>
      </w:pPr>
    </w:p>
    <w:sectPr w:rsidR="001819B7" w:rsidSect="00715421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334" w:rsidRDefault="00C12334">
      <w:r>
        <w:separator/>
      </w:r>
    </w:p>
  </w:endnote>
  <w:endnote w:type="continuationSeparator" w:id="0">
    <w:p w:rsidR="00C12334" w:rsidRDefault="00C1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Palacio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Adan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A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A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 A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334" w:rsidRDefault="00C12334">
      <w:r>
        <w:separator/>
      </w:r>
    </w:p>
  </w:footnote>
  <w:footnote w:type="continuationSeparator" w:id="0">
    <w:p w:rsidR="00C12334" w:rsidRDefault="00C1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0A" w:rsidRPr="00BA4C40" w:rsidRDefault="00630F0A" w:rsidP="0083329D">
    <w:pPr>
      <w:pStyle w:val="Fechas"/>
      <w:rPr>
        <w:rFonts w:cs="Times New Roman"/>
      </w:rPr>
    </w:pPr>
    <w:r w:rsidRPr="00BA4C40">
      <w:rPr>
        <w:rFonts w:cs="Times New Roman"/>
      </w:rPr>
      <w:t xml:space="preserve">     (Primera Sección)</w:t>
    </w:r>
    <w:r w:rsidRPr="00BA4C40">
      <w:rPr>
        <w:rFonts w:cs="Times New Roman"/>
      </w:rPr>
      <w:tab/>
      <w:t>DIARIO OFICIAL</w:t>
    </w:r>
    <w:r w:rsidRPr="00BA4C40">
      <w:rPr>
        <w:rFonts w:cs="Times New Roman"/>
      </w:rPr>
      <w:tab/>
    </w:r>
    <w:proofErr w:type="gramStart"/>
    <w:r w:rsidRPr="00BA4C40">
      <w:rPr>
        <w:rFonts w:cs="Times New Roman"/>
      </w:rPr>
      <w:t>Miércoles</w:t>
    </w:r>
    <w:proofErr w:type="gramEnd"/>
    <w:r w:rsidRPr="00BA4C40">
      <w:rPr>
        <w:rFonts w:cs="Times New Roman"/>
      </w:rPr>
      <w:t xml:space="preserve"> 27 de diciembre de 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0A" w:rsidRPr="00BA4C40" w:rsidRDefault="00630F0A" w:rsidP="0083329D">
    <w:pPr>
      <w:pStyle w:val="Fechas"/>
      <w:rPr>
        <w:rFonts w:cs="Times New Roman"/>
      </w:rPr>
    </w:pPr>
    <w:r w:rsidRPr="00BA4C40">
      <w:rPr>
        <w:rFonts w:cs="Times New Roman"/>
      </w:rPr>
      <w:t>Miércoles 27 de diciembre de 2017</w:t>
    </w:r>
    <w:r w:rsidRPr="00BA4C40">
      <w:rPr>
        <w:rFonts w:cs="Times New Roman"/>
      </w:rPr>
      <w:tab/>
      <w:t>DIARIO OFICIAL</w:t>
    </w:r>
    <w:r w:rsidRPr="00BA4C40">
      <w:rPr>
        <w:rFonts w:cs="Times New Roman"/>
      </w:rPr>
      <w:tab/>
      <w:t xml:space="preserve">(Primera Sección)     </w:t>
    </w:r>
    <w:r w:rsidR="00BA4C40">
      <w:rPr>
        <w:rFonts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21E"/>
    <w:multiLevelType w:val="hybridMultilevel"/>
    <w:tmpl w:val="5CF6CE7C"/>
    <w:lvl w:ilvl="0" w:tplc="CA1E92B2">
      <w:numFmt w:val="bullet"/>
      <w:lvlText w:val="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B5474C5"/>
    <w:multiLevelType w:val="hybridMultilevel"/>
    <w:tmpl w:val="E5FC99E0"/>
    <w:lvl w:ilvl="0" w:tplc="D1EA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21DA7"/>
    <w:multiLevelType w:val="hybridMultilevel"/>
    <w:tmpl w:val="69267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EDD371A"/>
    <w:multiLevelType w:val="hybridMultilevel"/>
    <w:tmpl w:val="424A6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B3"/>
    <w:rsid w:val="00003C03"/>
    <w:rsid w:val="000069C5"/>
    <w:rsid w:val="000153D5"/>
    <w:rsid w:val="0002098C"/>
    <w:rsid w:val="00021203"/>
    <w:rsid w:val="00026B62"/>
    <w:rsid w:val="0004244C"/>
    <w:rsid w:val="000657A7"/>
    <w:rsid w:val="00083B96"/>
    <w:rsid w:val="00084052"/>
    <w:rsid w:val="00085CFF"/>
    <w:rsid w:val="00090755"/>
    <w:rsid w:val="000919EC"/>
    <w:rsid w:val="000934C4"/>
    <w:rsid w:val="000A5526"/>
    <w:rsid w:val="000B42E5"/>
    <w:rsid w:val="000C50D4"/>
    <w:rsid w:val="000E4104"/>
    <w:rsid w:val="000F0FA3"/>
    <w:rsid w:val="000F706A"/>
    <w:rsid w:val="0010703B"/>
    <w:rsid w:val="00124F6D"/>
    <w:rsid w:val="001303A7"/>
    <w:rsid w:val="00140A5C"/>
    <w:rsid w:val="001420EC"/>
    <w:rsid w:val="00151580"/>
    <w:rsid w:val="00155A7E"/>
    <w:rsid w:val="001574EC"/>
    <w:rsid w:val="00160B88"/>
    <w:rsid w:val="00161638"/>
    <w:rsid w:val="001642EF"/>
    <w:rsid w:val="00176B02"/>
    <w:rsid w:val="001819B7"/>
    <w:rsid w:val="001A447B"/>
    <w:rsid w:val="001B3798"/>
    <w:rsid w:val="001B6981"/>
    <w:rsid w:val="001C070A"/>
    <w:rsid w:val="001E6CB1"/>
    <w:rsid w:val="001F6325"/>
    <w:rsid w:val="002214D8"/>
    <w:rsid w:val="002464BB"/>
    <w:rsid w:val="00250073"/>
    <w:rsid w:val="0025082C"/>
    <w:rsid w:val="00255299"/>
    <w:rsid w:val="00285BE5"/>
    <w:rsid w:val="00286668"/>
    <w:rsid w:val="00287945"/>
    <w:rsid w:val="00290296"/>
    <w:rsid w:val="00291CA7"/>
    <w:rsid w:val="002940B6"/>
    <w:rsid w:val="00297EB7"/>
    <w:rsid w:val="002B00EE"/>
    <w:rsid w:val="002B127D"/>
    <w:rsid w:val="002B3857"/>
    <w:rsid w:val="002C3644"/>
    <w:rsid w:val="002C48E4"/>
    <w:rsid w:val="002E0094"/>
    <w:rsid w:val="002F6279"/>
    <w:rsid w:val="002F666A"/>
    <w:rsid w:val="0030321A"/>
    <w:rsid w:val="003043C3"/>
    <w:rsid w:val="00323864"/>
    <w:rsid w:val="0032394E"/>
    <w:rsid w:val="00326B04"/>
    <w:rsid w:val="00330780"/>
    <w:rsid w:val="003340A4"/>
    <w:rsid w:val="00340C3E"/>
    <w:rsid w:val="00357A6B"/>
    <w:rsid w:val="0036410B"/>
    <w:rsid w:val="003656C6"/>
    <w:rsid w:val="00373DFE"/>
    <w:rsid w:val="0039202C"/>
    <w:rsid w:val="003C5EB9"/>
    <w:rsid w:val="003D6F76"/>
    <w:rsid w:val="003E5783"/>
    <w:rsid w:val="003E7472"/>
    <w:rsid w:val="003F3105"/>
    <w:rsid w:val="00410B8C"/>
    <w:rsid w:val="004113CD"/>
    <w:rsid w:val="00412ED6"/>
    <w:rsid w:val="004131ED"/>
    <w:rsid w:val="004142D5"/>
    <w:rsid w:val="004257B5"/>
    <w:rsid w:val="0042779F"/>
    <w:rsid w:val="00433337"/>
    <w:rsid w:val="004352A9"/>
    <w:rsid w:val="00440349"/>
    <w:rsid w:val="00464085"/>
    <w:rsid w:val="004652D9"/>
    <w:rsid w:val="00465E99"/>
    <w:rsid w:val="00471C6A"/>
    <w:rsid w:val="00491FA2"/>
    <w:rsid w:val="004A7426"/>
    <w:rsid w:val="004B2F2C"/>
    <w:rsid w:val="004B42C8"/>
    <w:rsid w:val="004C49C6"/>
    <w:rsid w:val="004D4A72"/>
    <w:rsid w:val="004E6B1F"/>
    <w:rsid w:val="004E77FB"/>
    <w:rsid w:val="004E7904"/>
    <w:rsid w:val="004F15FF"/>
    <w:rsid w:val="004F3FE9"/>
    <w:rsid w:val="00512CDB"/>
    <w:rsid w:val="00514993"/>
    <w:rsid w:val="00534337"/>
    <w:rsid w:val="0053581A"/>
    <w:rsid w:val="00535845"/>
    <w:rsid w:val="005438AB"/>
    <w:rsid w:val="0054733E"/>
    <w:rsid w:val="0055349C"/>
    <w:rsid w:val="005A0268"/>
    <w:rsid w:val="005C4019"/>
    <w:rsid w:val="005C4980"/>
    <w:rsid w:val="005C75DE"/>
    <w:rsid w:val="005D1B32"/>
    <w:rsid w:val="005D7D14"/>
    <w:rsid w:val="005E5B4E"/>
    <w:rsid w:val="005F22DB"/>
    <w:rsid w:val="0060501A"/>
    <w:rsid w:val="006231E1"/>
    <w:rsid w:val="00627360"/>
    <w:rsid w:val="00627D1A"/>
    <w:rsid w:val="00630F0A"/>
    <w:rsid w:val="0063495E"/>
    <w:rsid w:val="00634C63"/>
    <w:rsid w:val="00656CFF"/>
    <w:rsid w:val="0066798C"/>
    <w:rsid w:val="006711A8"/>
    <w:rsid w:val="00674139"/>
    <w:rsid w:val="00677784"/>
    <w:rsid w:val="00681BC5"/>
    <w:rsid w:val="00691836"/>
    <w:rsid w:val="00692267"/>
    <w:rsid w:val="0069357B"/>
    <w:rsid w:val="00697B7C"/>
    <w:rsid w:val="006A52FE"/>
    <w:rsid w:val="006B7539"/>
    <w:rsid w:val="006C0406"/>
    <w:rsid w:val="006D2E40"/>
    <w:rsid w:val="006E2487"/>
    <w:rsid w:val="006E4EE3"/>
    <w:rsid w:val="006E66EC"/>
    <w:rsid w:val="0070415B"/>
    <w:rsid w:val="007069CD"/>
    <w:rsid w:val="00715421"/>
    <w:rsid w:val="00717A6D"/>
    <w:rsid w:val="00724703"/>
    <w:rsid w:val="00730851"/>
    <w:rsid w:val="00735E9D"/>
    <w:rsid w:val="00737435"/>
    <w:rsid w:val="00741ABD"/>
    <w:rsid w:val="00746FC8"/>
    <w:rsid w:val="007578BE"/>
    <w:rsid w:val="00762D8B"/>
    <w:rsid w:val="00763739"/>
    <w:rsid w:val="0077243E"/>
    <w:rsid w:val="007872B3"/>
    <w:rsid w:val="00797AB4"/>
    <w:rsid w:val="007A0956"/>
    <w:rsid w:val="007D00B8"/>
    <w:rsid w:val="007D10BB"/>
    <w:rsid w:val="007D286A"/>
    <w:rsid w:val="007F7B0E"/>
    <w:rsid w:val="008079DE"/>
    <w:rsid w:val="00827CE1"/>
    <w:rsid w:val="0083080F"/>
    <w:rsid w:val="0083329D"/>
    <w:rsid w:val="008529BB"/>
    <w:rsid w:val="008651ED"/>
    <w:rsid w:val="00866A97"/>
    <w:rsid w:val="00875A59"/>
    <w:rsid w:val="00886BC0"/>
    <w:rsid w:val="0089558E"/>
    <w:rsid w:val="008A23F3"/>
    <w:rsid w:val="008A559B"/>
    <w:rsid w:val="008B5BD2"/>
    <w:rsid w:val="008D17A5"/>
    <w:rsid w:val="008E35DF"/>
    <w:rsid w:val="008E4745"/>
    <w:rsid w:val="008F7A18"/>
    <w:rsid w:val="0090760F"/>
    <w:rsid w:val="00913D77"/>
    <w:rsid w:val="009167A0"/>
    <w:rsid w:val="009200A2"/>
    <w:rsid w:val="00920F4E"/>
    <w:rsid w:val="00924739"/>
    <w:rsid w:val="009329FB"/>
    <w:rsid w:val="009452BF"/>
    <w:rsid w:val="00945F33"/>
    <w:rsid w:val="009579DB"/>
    <w:rsid w:val="00960D10"/>
    <w:rsid w:val="009756FA"/>
    <w:rsid w:val="00976B26"/>
    <w:rsid w:val="00983653"/>
    <w:rsid w:val="009932CA"/>
    <w:rsid w:val="009A7654"/>
    <w:rsid w:val="009B0F8A"/>
    <w:rsid w:val="009C02DA"/>
    <w:rsid w:val="009E1AC6"/>
    <w:rsid w:val="009E3B35"/>
    <w:rsid w:val="009E63EA"/>
    <w:rsid w:val="009F050F"/>
    <w:rsid w:val="00A31A7F"/>
    <w:rsid w:val="00A31E9B"/>
    <w:rsid w:val="00A333DC"/>
    <w:rsid w:val="00A366AB"/>
    <w:rsid w:val="00A53D31"/>
    <w:rsid w:val="00A63BC1"/>
    <w:rsid w:val="00A71D00"/>
    <w:rsid w:val="00A73F8A"/>
    <w:rsid w:val="00A76032"/>
    <w:rsid w:val="00A8099D"/>
    <w:rsid w:val="00A81D62"/>
    <w:rsid w:val="00A84922"/>
    <w:rsid w:val="00A90C04"/>
    <w:rsid w:val="00A935A7"/>
    <w:rsid w:val="00AA362F"/>
    <w:rsid w:val="00AB4D45"/>
    <w:rsid w:val="00AD54E0"/>
    <w:rsid w:val="00B00632"/>
    <w:rsid w:val="00B14C29"/>
    <w:rsid w:val="00B170E8"/>
    <w:rsid w:val="00B3769E"/>
    <w:rsid w:val="00B50FF2"/>
    <w:rsid w:val="00B516B0"/>
    <w:rsid w:val="00B63531"/>
    <w:rsid w:val="00B7008A"/>
    <w:rsid w:val="00B717B3"/>
    <w:rsid w:val="00BA4C40"/>
    <w:rsid w:val="00BA57E0"/>
    <w:rsid w:val="00BF091C"/>
    <w:rsid w:val="00BF42E1"/>
    <w:rsid w:val="00C01B5D"/>
    <w:rsid w:val="00C12334"/>
    <w:rsid w:val="00C248C2"/>
    <w:rsid w:val="00C258E4"/>
    <w:rsid w:val="00C43D11"/>
    <w:rsid w:val="00C461BF"/>
    <w:rsid w:val="00C54322"/>
    <w:rsid w:val="00C55860"/>
    <w:rsid w:val="00C568A7"/>
    <w:rsid w:val="00C72F0B"/>
    <w:rsid w:val="00C9060E"/>
    <w:rsid w:val="00C96371"/>
    <w:rsid w:val="00CA2FDC"/>
    <w:rsid w:val="00CA3BBA"/>
    <w:rsid w:val="00CC0602"/>
    <w:rsid w:val="00CC39A6"/>
    <w:rsid w:val="00CC6578"/>
    <w:rsid w:val="00CC71C5"/>
    <w:rsid w:val="00CD4AAD"/>
    <w:rsid w:val="00CD6850"/>
    <w:rsid w:val="00CE67E8"/>
    <w:rsid w:val="00CF6193"/>
    <w:rsid w:val="00D04785"/>
    <w:rsid w:val="00D06725"/>
    <w:rsid w:val="00D32C7D"/>
    <w:rsid w:val="00D34588"/>
    <w:rsid w:val="00D3478E"/>
    <w:rsid w:val="00D42FD2"/>
    <w:rsid w:val="00D54C2F"/>
    <w:rsid w:val="00D6067E"/>
    <w:rsid w:val="00D64953"/>
    <w:rsid w:val="00D75581"/>
    <w:rsid w:val="00D87572"/>
    <w:rsid w:val="00DB3424"/>
    <w:rsid w:val="00DB660C"/>
    <w:rsid w:val="00DB68A8"/>
    <w:rsid w:val="00DC07B5"/>
    <w:rsid w:val="00DC520E"/>
    <w:rsid w:val="00DE4C7A"/>
    <w:rsid w:val="00DF6036"/>
    <w:rsid w:val="00DF6BC3"/>
    <w:rsid w:val="00E21F6A"/>
    <w:rsid w:val="00E30B22"/>
    <w:rsid w:val="00E34E43"/>
    <w:rsid w:val="00E3798A"/>
    <w:rsid w:val="00E44043"/>
    <w:rsid w:val="00E460F3"/>
    <w:rsid w:val="00E50177"/>
    <w:rsid w:val="00E5027B"/>
    <w:rsid w:val="00E5626A"/>
    <w:rsid w:val="00E61A46"/>
    <w:rsid w:val="00E772E5"/>
    <w:rsid w:val="00E82585"/>
    <w:rsid w:val="00E902B8"/>
    <w:rsid w:val="00EA0ABD"/>
    <w:rsid w:val="00EA46E7"/>
    <w:rsid w:val="00EB3C2A"/>
    <w:rsid w:val="00EC2C40"/>
    <w:rsid w:val="00EC3E4C"/>
    <w:rsid w:val="00ED19DD"/>
    <w:rsid w:val="00EE6353"/>
    <w:rsid w:val="00EF1962"/>
    <w:rsid w:val="00EF226B"/>
    <w:rsid w:val="00F00937"/>
    <w:rsid w:val="00F22399"/>
    <w:rsid w:val="00F260B8"/>
    <w:rsid w:val="00F315C9"/>
    <w:rsid w:val="00F349A7"/>
    <w:rsid w:val="00F42E31"/>
    <w:rsid w:val="00F51E5E"/>
    <w:rsid w:val="00F64B32"/>
    <w:rsid w:val="00F65BB0"/>
    <w:rsid w:val="00F70C4B"/>
    <w:rsid w:val="00F7138B"/>
    <w:rsid w:val="00F74C7D"/>
    <w:rsid w:val="00F808C0"/>
    <w:rsid w:val="00F83712"/>
    <w:rsid w:val="00F85CA3"/>
    <w:rsid w:val="00F94DA6"/>
    <w:rsid w:val="00FA672D"/>
    <w:rsid w:val="00FB2161"/>
    <w:rsid w:val="00FC03A2"/>
    <w:rsid w:val="00FC5DD1"/>
    <w:rsid w:val="00FD0D2C"/>
    <w:rsid w:val="00FD44E8"/>
    <w:rsid w:val="00FD7200"/>
    <w:rsid w:val="00FE5F30"/>
    <w:rsid w:val="00FE6ABD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B2CC73A-3034-463D-B731-0C840097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67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2C48E4"/>
    <w:pPr>
      <w:keepNext/>
      <w:tabs>
        <w:tab w:val="left" w:pos="851"/>
      </w:tabs>
      <w:ind w:left="993" w:hanging="993"/>
      <w:outlineLvl w:val="2"/>
    </w:pPr>
    <w:rPr>
      <w:rFonts w:ascii="CaAibri" w:hAnsi="CaAibri" w:cs="CaAibri"/>
      <w:b/>
      <w:sz w:val="22"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2C48E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Aal" w:hAnsi="ArAal" w:cs="ArAal"/>
      <w:b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2C48E4"/>
    <w:pPr>
      <w:tabs>
        <w:tab w:val="left" w:pos="851"/>
      </w:tabs>
      <w:jc w:val="both"/>
      <w:outlineLvl w:val="4"/>
    </w:pPr>
    <w:rPr>
      <w:rFonts w:ascii="CaAibri" w:hAnsi="CaAibri" w:cs="CaA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2C48E4"/>
    <w:pPr>
      <w:tabs>
        <w:tab w:val="left" w:pos="1152"/>
      </w:tabs>
      <w:spacing w:before="240" w:after="60"/>
      <w:ind w:left="1152" w:hanging="1152"/>
      <w:outlineLvl w:val="5"/>
    </w:pPr>
    <w:rPr>
      <w:rFonts w:ascii="TiAes New Roman" w:hAnsi="TiAes New Roman" w:cs="TiAes New Roman"/>
      <w:b/>
      <w:sz w:val="22"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2C48E4"/>
    <w:pPr>
      <w:tabs>
        <w:tab w:val="left" w:pos="1296"/>
      </w:tabs>
      <w:spacing w:before="240" w:after="60"/>
      <w:ind w:left="1296" w:hanging="1296"/>
      <w:outlineLvl w:val="6"/>
    </w:pPr>
    <w:rPr>
      <w:rFonts w:ascii="TiAes New Roman" w:hAnsi="TiAes New Roman" w:cs="TiAes New Roman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2C48E4"/>
    <w:pPr>
      <w:tabs>
        <w:tab w:val="left" w:pos="1440"/>
      </w:tabs>
      <w:spacing w:before="240" w:after="60"/>
      <w:ind w:left="1440" w:hanging="1440"/>
      <w:outlineLvl w:val="7"/>
    </w:pPr>
    <w:rPr>
      <w:rFonts w:ascii="TiAes New Roman" w:hAnsi="TiAes New Roman" w:cs="TiAes New Roman"/>
      <w:i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2C48E4"/>
    <w:pPr>
      <w:tabs>
        <w:tab w:val="left" w:pos="1584"/>
      </w:tabs>
      <w:spacing w:before="240" w:after="60"/>
      <w:ind w:left="1584" w:hanging="1584"/>
      <w:outlineLvl w:val="8"/>
    </w:pPr>
    <w:rPr>
      <w:rFonts w:ascii="ArAal" w:hAnsi="ArAal" w:cs="ArAal"/>
      <w:sz w:val="22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Ttulo3Car">
    <w:name w:val="Título 3 Car"/>
    <w:link w:val="Ttulo3"/>
    <w:rsid w:val="002C48E4"/>
    <w:rPr>
      <w:rFonts w:ascii="CaAibri" w:hAnsi="CaAibri" w:cs="CaAibri"/>
      <w:b/>
      <w:sz w:val="22"/>
    </w:rPr>
  </w:style>
  <w:style w:type="character" w:customStyle="1" w:styleId="Ttulo4Car">
    <w:name w:val="Título 4 Car"/>
    <w:link w:val="Ttulo4"/>
    <w:rsid w:val="002C48E4"/>
    <w:rPr>
      <w:rFonts w:ascii="ArAal" w:hAnsi="ArAal" w:cs="ArAal"/>
      <w:b/>
      <w:sz w:val="24"/>
      <w:lang w:val="es-ES"/>
    </w:rPr>
  </w:style>
  <w:style w:type="character" w:customStyle="1" w:styleId="Ttulo5Car">
    <w:name w:val="Título 5 Car"/>
    <w:link w:val="Ttulo5"/>
    <w:rsid w:val="002C48E4"/>
    <w:rPr>
      <w:rFonts w:ascii="CaAibri" w:hAnsi="CaAibri" w:cs="CaAibri"/>
    </w:rPr>
  </w:style>
  <w:style w:type="character" w:customStyle="1" w:styleId="Ttulo6Car">
    <w:name w:val="Título 6 Car"/>
    <w:link w:val="Ttulo6"/>
    <w:rsid w:val="002C48E4"/>
    <w:rPr>
      <w:rFonts w:ascii="TiAes New Roman" w:hAnsi="TiAes New Roman" w:cs="TiAes New Roman"/>
      <w:b/>
      <w:sz w:val="22"/>
      <w:lang w:val="es-ES"/>
    </w:rPr>
  </w:style>
  <w:style w:type="character" w:customStyle="1" w:styleId="Ttulo7Car">
    <w:name w:val="Título 7 Car"/>
    <w:link w:val="Ttulo7"/>
    <w:rsid w:val="002C48E4"/>
    <w:rPr>
      <w:rFonts w:ascii="TiAes New Roman" w:hAnsi="TiAes New Roman" w:cs="TiAes New Roman"/>
      <w:sz w:val="24"/>
      <w:lang w:val="es-ES"/>
    </w:rPr>
  </w:style>
  <w:style w:type="character" w:customStyle="1" w:styleId="Ttulo8Car">
    <w:name w:val="Título 8 Car"/>
    <w:link w:val="Ttulo8"/>
    <w:rsid w:val="002C48E4"/>
    <w:rPr>
      <w:rFonts w:ascii="TiAes New Roman" w:hAnsi="TiAes New Roman" w:cs="TiAes New Roman"/>
      <w:i/>
      <w:sz w:val="24"/>
      <w:lang w:val="es-ES"/>
    </w:rPr>
  </w:style>
  <w:style w:type="character" w:customStyle="1" w:styleId="Ttulo9Car">
    <w:name w:val="Título 9 Car"/>
    <w:link w:val="Ttulo9"/>
    <w:rsid w:val="002C48E4"/>
    <w:rPr>
      <w:rFonts w:ascii="ArAal" w:hAnsi="ArAal" w:cs="ArAal"/>
      <w:sz w:val="22"/>
      <w:lang w:val="es-ES"/>
    </w:rPr>
  </w:style>
  <w:style w:type="paragraph" w:styleId="Textocomentario">
    <w:name w:val="annotation text"/>
    <w:basedOn w:val="Normal"/>
    <w:link w:val="TextocomentarioCar"/>
    <w:rsid w:val="002C48E4"/>
    <w:rPr>
      <w:rFonts w:ascii="VeAdana" w:hAnsi="VeAdana" w:cs="VeAdana"/>
      <w:sz w:val="20"/>
      <w:szCs w:val="20"/>
      <w:lang w:val="es-ES" w:eastAsia="es-MX"/>
    </w:rPr>
  </w:style>
  <w:style w:type="character" w:customStyle="1" w:styleId="TextocomentarioCar">
    <w:name w:val="Texto comentario Car"/>
    <w:link w:val="Textocomentario"/>
    <w:rsid w:val="002C48E4"/>
    <w:rPr>
      <w:rFonts w:ascii="VeAdana" w:hAnsi="VeAdana" w:cs="VeAdana"/>
      <w:lang w:val="es-ES"/>
    </w:rPr>
  </w:style>
  <w:style w:type="paragraph" w:styleId="Textonotapie">
    <w:name w:val="footnote text"/>
    <w:basedOn w:val="Normal"/>
    <w:link w:val="TextonotapieCar"/>
    <w:rsid w:val="002C48E4"/>
    <w:pPr>
      <w:spacing w:before="360" w:after="200"/>
    </w:pPr>
    <w:rPr>
      <w:rFonts w:ascii="CaAibri" w:hAnsi="CaAibri" w:cs="CaA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rsid w:val="002C48E4"/>
    <w:rPr>
      <w:rFonts w:ascii="CaAibri" w:hAnsi="CaAibri" w:cs="CaAibri"/>
      <w:lang w:val="es-AR"/>
    </w:rPr>
  </w:style>
  <w:style w:type="paragraph" w:customStyle="1" w:styleId="EstilotextoPrimeral">
    <w:name w:val="Estilo texto + Primera l"/>
    <w:basedOn w:val="Normal"/>
    <w:rsid w:val="002C48E4"/>
    <w:pPr>
      <w:spacing w:after="101" w:line="216" w:lineRule="exact"/>
      <w:jc w:val="both"/>
    </w:pPr>
    <w:rPr>
      <w:rFonts w:ascii="ArAal" w:hAnsi="ArAal" w:cs="ArAal"/>
      <w:sz w:val="18"/>
      <w:szCs w:val="20"/>
      <w:lang w:eastAsia="es-MX"/>
    </w:rPr>
  </w:style>
  <w:style w:type="paragraph" w:styleId="Prrafodelista">
    <w:name w:val="List Paragraph"/>
    <w:basedOn w:val="Normal"/>
    <w:qFormat/>
    <w:rsid w:val="002C48E4"/>
    <w:pPr>
      <w:spacing w:before="60"/>
      <w:ind w:left="720"/>
      <w:jc w:val="both"/>
    </w:pPr>
    <w:rPr>
      <w:rFonts w:ascii="CaAibri" w:hAnsi="CaAibri" w:cs="CaAibri"/>
      <w:sz w:val="22"/>
      <w:szCs w:val="20"/>
      <w:lang w:val="es-ES" w:eastAsia="es-MX"/>
    </w:rPr>
  </w:style>
  <w:style w:type="paragraph" w:customStyle="1" w:styleId="texto0">
    <w:name w:val="texto"/>
    <w:basedOn w:val="Normal"/>
    <w:rsid w:val="002C48E4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eastAsia="es-MX"/>
    </w:rPr>
  </w:style>
  <w:style w:type="paragraph" w:styleId="NormalWeb">
    <w:name w:val="Normal (Web)"/>
    <w:basedOn w:val="Normal"/>
    <w:rsid w:val="002C48E4"/>
    <w:pPr>
      <w:spacing w:before="100" w:after="100"/>
    </w:pPr>
    <w:rPr>
      <w:rFonts w:ascii="TiAes New Roman" w:hAnsi="TiAes New Roman" w:cs="TiAes New Roman"/>
      <w:szCs w:val="20"/>
      <w:lang w:val="es-ES" w:eastAsia="es-MX"/>
    </w:rPr>
  </w:style>
  <w:style w:type="paragraph" w:customStyle="1" w:styleId="Prrafodelista1">
    <w:name w:val="Párrafo de lista1"/>
    <w:basedOn w:val="Normal"/>
    <w:rsid w:val="002C48E4"/>
    <w:pPr>
      <w:spacing w:after="200" w:line="276" w:lineRule="atLeast"/>
      <w:ind w:left="720"/>
    </w:pPr>
    <w:rPr>
      <w:rFonts w:ascii="CaAibri" w:hAnsi="CaAibri" w:cs="CaA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2C48E4"/>
    <w:pPr>
      <w:jc w:val="both"/>
    </w:pPr>
    <w:rPr>
      <w:rFonts w:ascii="ArAal" w:hAnsi="ArAal" w:cs="ArAal"/>
      <w:sz w:val="22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2C48E4"/>
    <w:pPr>
      <w:spacing w:before="360" w:after="200"/>
      <w:ind w:firstLine="708"/>
      <w:jc w:val="both"/>
    </w:pPr>
    <w:rPr>
      <w:rFonts w:ascii="ArAal" w:hAnsi="ArAal" w:cs="ArA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2C48E4"/>
    <w:rPr>
      <w:rFonts w:ascii="TiAes New Roman" w:hAnsi="TiAes New Roman" w:cs="TiAes New Roman"/>
      <w:b/>
      <w:szCs w:val="20"/>
      <w:lang w:val="es-ES" w:eastAsia="es-MX"/>
    </w:rPr>
  </w:style>
  <w:style w:type="paragraph" w:customStyle="1" w:styleId="Modelo1">
    <w:name w:val="Modelo 1"/>
    <w:basedOn w:val="Normal"/>
    <w:rsid w:val="002C48E4"/>
    <w:pPr>
      <w:tabs>
        <w:tab w:val="left" w:pos="792"/>
      </w:tabs>
      <w:spacing w:before="60" w:after="60"/>
      <w:ind w:left="792" w:hanging="432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2C48E4"/>
    <w:pPr>
      <w:shd w:val="clear" w:color="auto" w:fill="000080"/>
    </w:pPr>
    <w:rPr>
      <w:rFonts w:ascii="TaAoma" w:hAnsi="TaAoma" w:cs="TaA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2C48E4"/>
    <w:rPr>
      <w:rFonts w:ascii="TaAoma" w:hAnsi="TaAoma" w:cs="TaA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2C48E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Aibri" w:hAnsi="CaAibri" w:cs="CaA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2C48E4"/>
    <w:pPr>
      <w:spacing w:before="120"/>
      <w:ind w:firstLine="720"/>
      <w:jc w:val="both"/>
    </w:pPr>
    <w:rPr>
      <w:rFonts w:ascii="GaAamond" w:hAnsi="GaAamond" w:cs="GaA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2C48E4"/>
    <w:rPr>
      <w:b/>
    </w:rPr>
  </w:style>
  <w:style w:type="paragraph" w:customStyle="1" w:styleId="font5">
    <w:name w:val="font5"/>
    <w:basedOn w:val="Normal"/>
    <w:rsid w:val="002C48E4"/>
    <w:pPr>
      <w:spacing w:before="100" w:after="100"/>
    </w:pPr>
    <w:rPr>
      <w:rFonts w:ascii="TaAoma" w:hAnsi="TaAoma" w:cs="TaA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2C48E4"/>
    <w:pPr>
      <w:spacing w:before="100" w:after="100"/>
    </w:pPr>
    <w:rPr>
      <w:rFonts w:ascii="TaAoma" w:hAnsi="TaAoma" w:cs="TaA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66">
    <w:name w:val="xl66"/>
    <w:basedOn w:val="Normal"/>
    <w:rsid w:val="002C48E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Adana" w:hAnsi="VeAdana" w:cs="VeAdana"/>
      <w:szCs w:val="20"/>
      <w:lang w:val="es-ES" w:eastAsia="es-MX"/>
    </w:rPr>
  </w:style>
  <w:style w:type="paragraph" w:customStyle="1" w:styleId="xl67">
    <w:name w:val="xl67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68">
    <w:name w:val="xl68"/>
    <w:basedOn w:val="Normal"/>
    <w:rsid w:val="002C48E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Adana" w:hAnsi="VeAdana" w:cs="VeAdana"/>
      <w:szCs w:val="20"/>
      <w:lang w:val="es-ES" w:eastAsia="es-MX"/>
    </w:rPr>
  </w:style>
  <w:style w:type="paragraph" w:customStyle="1" w:styleId="xl69">
    <w:name w:val="xl69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0">
    <w:name w:val="xl70"/>
    <w:basedOn w:val="Normal"/>
    <w:rsid w:val="002C48E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1">
    <w:name w:val="xl71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2">
    <w:name w:val="xl72"/>
    <w:basedOn w:val="Normal"/>
    <w:rsid w:val="002C48E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3">
    <w:name w:val="xl73"/>
    <w:basedOn w:val="Normal"/>
    <w:rsid w:val="002C48E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4">
    <w:name w:val="xl74"/>
    <w:basedOn w:val="Normal"/>
    <w:rsid w:val="002C48E4"/>
    <w:pPr>
      <w:pBdr>
        <w:top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5">
    <w:name w:val="xl75"/>
    <w:basedOn w:val="Normal"/>
    <w:rsid w:val="002C48E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customStyle="1" w:styleId="xl76">
    <w:name w:val="xl76"/>
    <w:basedOn w:val="Normal"/>
    <w:rsid w:val="002C48E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Adana" w:hAnsi="VeAdana" w:cs="VeAdana"/>
      <w:szCs w:val="20"/>
      <w:lang w:val="es-ES" w:eastAsia="es-MX"/>
    </w:rPr>
  </w:style>
  <w:style w:type="paragraph" w:customStyle="1" w:styleId="xl77">
    <w:name w:val="xl77"/>
    <w:basedOn w:val="Normal"/>
    <w:rsid w:val="002C48E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Adana" w:hAnsi="VeAdana" w:cs="VeAdana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2C48E4"/>
    <w:pPr>
      <w:spacing w:after="60"/>
      <w:jc w:val="center"/>
    </w:pPr>
    <w:rPr>
      <w:rFonts w:ascii="CaAbria" w:hAnsi="CaAbria" w:cs="CaAbria"/>
      <w:szCs w:val="20"/>
      <w:lang w:val="es-ES" w:eastAsia="es-MX"/>
    </w:rPr>
  </w:style>
  <w:style w:type="character" w:customStyle="1" w:styleId="SubttuloCar">
    <w:name w:val="Subtítulo Car"/>
    <w:link w:val="Subttulo"/>
    <w:rsid w:val="002C48E4"/>
    <w:rPr>
      <w:rFonts w:ascii="CaAbria" w:hAnsi="CaAbria" w:cs="CaAbria"/>
      <w:sz w:val="24"/>
      <w:lang w:val="es-ES"/>
    </w:rPr>
  </w:style>
  <w:style w:type="paragraph" w:customStyle="1" w:styleId="Ttulo10">
    <w:name w:val="Título1"/>
    <w:basedOn w:val="Normal"/>
    <w:next w:val="Normal"/>
    <w:rsid w:val="002C48E4"/>
    <w:pPr>
      <w:spacing w:before="240" w:after="60"/>
      <w:jc w:val="center"/>
    </w:pPr>
    <w:rPr>
      <w:rFonts w:ascii="CaAbria" w:hAnsi="CaAbria" w:cs="CaA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2C48E4"/>
    <w:pPr>
      <w:ind w:left="1080" w:hanging="792"/>
    </w:pPr>
    <w:rPr>
      <w:rFonts w:ascii="ArAal" w:hAnsi="ArAal" w:cs="ArAal"/>
      <w:b/>
      <w:lang w:val="es-ES" w:eastAsia="es-MX"/>
    </w:rPr>
  </w:style>
  <w:style w:type="paragraph" w:customStyle="1" w:styleId="Sumario">
    <w:name w:val="Sumario"/>
    <w:basedOn w:val="Normal"/>
    <w:rsid w:val="002C48E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2C48E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2C48E4"/>
    <w:rPr>
      <w:rFonts w:ascii="TiAes New Roman" w:hAnsi="TiAes New Roman" w:cs="TiAes New Roman"/>
      <w:sz w:val="20"/>
      <w:szCs w:val="20"/>
      <w:lang w:val="es-ES" w:eastAsia="es-MX"/>
    </w:rPr>
  </w:style>
  <w:style w:type="paragraph" w:styleId="Revisin">
    <w:name w:val="Revision"/>
    <w:rsid w:val="002C48E4"/>
    <w:rPr>
      <w:rFonts w:ascii="TiAes New Roman" w:hAnsi="TiAes New Roman" w:cs="TiAes New Roman"/>
      <w:sz w:val="24"/>
      <w:lang w:val="es-ES"/>
    </w:rPr>
  </w:style>
  <w:style w:type="paragraph" w:customStyle="1" w:styleId="Listadevietas3">
    <w:name w:val="Lista de viñetas 3"/>
    <w:basedOn w:val="Normal"/>
    <w:rsid w:val="002C48E4"/>
    <w:pPr>
      <w:tabs>
        <w:tab w:val="left" w:pos="360"/>
      </w:tabs>
      <w:ind w:left="360" w:hanging="360"/>
    </w:pPr>
    <w:rPr>
      <w:rFonts w:ascii="TiAes New Roman" w:hAnsi="TiAes New Roman" w:cs="TiAes New Roman"/>
      <w:szCs w:val="20"/>
      <w:lang w:val="es-ES" w:eastAsia="es-MX"/>
    </w:rPr>
  </w:style>
  <w:style w:type="paragraph" w:styleId="Textodeglobo">
    <w:name w:val="Balloon Text"/>
    <w:basedOn w:val="Normal"/>
    <w:link w:val="TextodegloboCar"/>
    <w:rsid w:val="004B42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B42C8"/>
    <w:rPr>
      <w:rFonts w:ascii="Segoe UI" w:hAnsi="Segoe UI" w:cs="Segoe UI"/>
      <w:sz w:val="18"/>
      <w:szCs w:val="18"/>
      <w:lang w:eastAsia="es-ES"/>
    </w:rPr>
  </w:style>
  <w:style w:type="paragraph" w:customStyle="1" w:styleId="Frotiregular">
    <w:name w:val="Frotiregular"/>
    <w:basedOn w:val="Encabezado"/>
    <w:rsid w:val="003F3105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val="es-ES" w:eastAsia="es-MX"/>
    </w:rPr>
  </w:style>
  <w:style w:type="paragraph" w:customStyle="1" w:styleId="Default">
    <w:name w:val="Default"/>
    <w:rsid w:val="003F3105"/>
    <w:rPr>
      <w:rFonts w:ascii="CaAibri" w:hAnsi="CaAibri" w:cs="CaAibri"/>
      <w:color w:val="000000"/>
      <w:sz w:val="24"/>
    </w:rPr>
  </w:style>
  <w:style w:type="table" w:styleId="Tablaconcuadrcula">
    <w:name w:val="Table Grid"/>
    <w:basedOn w:val="Tablanormal"/>
    <w:uiPriority w:val="59"/>
    <w:rsid w:val="003F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agarciav\Desktop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2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Ramirez Cardenas, Elena Patricia</cp:lastModifiedBy>
  <cp:revision>2</cp:revision>
  <cp:lastPrinted>2017-12-22T02:36:00Z</cp:lastPrinted>
  <dcterms:created xsi:type="dcterms:W3CDTF">2018-07-23T17:15:00Z</dcterms:created>
  <dcterms:modified xsi:type="dcterms:W3CDTF">2018-07-23T17:15:00Z</dcterms:modified>
</cp:coreProperties>
</file>